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BA528C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0A81" w:rsidP="00290A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0A71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052C21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90A71">
              <w:rPr>
                <w:szCs w:val="28"/>
              </w:rPr>
              <w:t>5</w:t>
            </w:r>
            <w:r w:rsidR="00D100E8" w:rsidRPr="00D100E8">
              <w:rPr>
                <w:szCs w:val="28"/>
              </w:rPr>
              <w:t>/</w:t>
            </w:r>
            <w:r w:rsidR="00052C21">
              <w:rPr>
                <w:szCs w:val="28"/>
              </w:rPr>
              <w:t>50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BA528C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A528C" w:rsidRPr="00BA528C" w:rsidRDefault="00BA528C" w:rsidP="00BA528C">
      <w:pPr>
        <w:pStyle w:val="a3"/>
        <w:jc w:val="center"/>
      </w:pPr>
      <w:r w:rsidRPr="00BA528C">
        <w:rPr>
          <w:szCs w:val="28"/>
        </w:rPr>
        <w:t>Об определении количества переносных ящиков, предназначенных для голосования вне помещения для голосования на выборах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 для участковых избирательных комиссий</w:t>
      </w:r>
      <w:r w:rsidRPr="00BA528C">
        <w:t xml:space="preserve"> </w:t>
      </w:r>
      <w:r>
        <w:t xml:space="preserve">Торопецкого района </w:t>
      </w:r>
    </w:p>
    <w:p w:rsidR="00BA528C" w:rsidRPr="001D2B8B" w:rsidRDefault="00BA528C" w:rsidP="00BA528C">
      <w:pPr>
        <w:pStyle w:val="a3"/>
        <w:jc w:val="center"/>
        <w:rPr>
          <w:b w:val="0"/>
        </w:rPr>
      </w:pPr>
    </w:p>
    <w:p w:rsidR="00BA528C" w:rsidRPr="005F2021" w:rsidRDefault="00BA528C" w:rsidP="00BA528C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созыва, в соответствии с пунктом 1 статьи 63, пунктами 8,</w:t>
      </w:r>
      <w:r w:rsidRPr="006C4E99">
        <w:rPr>
          <w:szCs w:val="28"/>
        </w:rPr>
        <w:t xml:space="preserve"> 8</w:t>
      </w:r>
      <w:r w:rsidRPr="006C4E99">
        <w:rPr>
          <w:szCs w:val="28"/>
          <w:vertAlign w:val="superscript"/>
        </w:rPr>
        <w:t>1</w:t>
      </w:r>
      <w:r w:rsidRPr="006C4E99">
        <w:rPr>
          <w:szCs w:val="28"/>
        </w:rPr>
        <w:t xml:space="preserve"> статьи 66</w:t>
      </w:r>
      <w:r>
        <w:rPr>
          <w:szCs w:val="28"/>
        </w:rPr>
        <w:t xml:space="preserve"> Федерального закона </w:t>
      </w:r>
      <w:r w:rsidRPr="006C4E99">
        <w:rPr>
          <w:szCs w:val="28"/>
        </w:rPr>
        <w:t>от 12.06.</w:t>
      </w:r>
      <w:r>
        <w:rPr>
          <w:szCs w:val="28"/>
        </w:rPr>
        <w:t>2002 № 67-ФЗ «Об основных гарантиях избирательных прав и права на участие в референдуме граждан Российской Федерации», пунктами 6.7 статьи 66 Федерального закона от 22.02.2014 №20-ФЗ «О выборах депутатов Государственной Думы Федерального Собрания Российской Федерации», на основании статьи 22, пунктов 8,</w:t>
      </w:r>
      <w:r w:rsidRPr="00015FDD">
        <w:rPr>
          <w:szCs w:val="28"/>
        </w:rPr>
        <w:t xml:space="preserve"> 8</w:t>
      </w:r>
      <w:r w:rsidRPr="00015FD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статьи 62 Избирательного кодекса Тверской области от 07.04.2003 № 20-ЗО, постановления ЦИК РФ от 18.06.</w:t>
      </w:r>
      <w:r w:rsidRPr="005F2021">
        <w:rPr>
          <w:szCs w:val="28"/>
        </w:rPr>
        <w:t>2021 № 11/87-8 «О проведении</w:t>
      </w:r>
      <w:r>
        <w:rPr>
          <w:szCs w:val="28"/>
        </w:rPr>
        <w:t xml:space="preserve"> голосования на выборах, референдумах, назначенных на 19 сентября 2021 года </w:t>
      </w:r>
      <w:r w:rsidRPr="005F2021">
        <w:rPr>
          <w:szCs w:val="28"/>
        </w:rPr>
        <w:t>в течение нескольких дней подряд»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территориальная избирательная комиссия Торопецкого района </w:t>
      </w:r>
      <w:r>
        <w:rPr>
          <w:szCs w:val="28"/>
        </w:rPr>
        <w:t xml:space="preserve"> </w:t>
      </w:r>
      <w:r>
        <w:rPr>
          <w:b/>
          <w:bCs/>
          <w:spacing w:val="20"/>
          <w:szCs w:val="28"/>
        </w:rPr>
        <w:t>постановляет:</w:t>
      </w:r>
    </w:p>
    <w:p w:rsidR="00BA528C" w:rsidRDefault="00BA528C" w:rsidP="00BA528C">
      <w:pPr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количество переносных ящиков, предназначенных для голосования вне помещения для голосования </w:t>
      </w:r>
      <w:r w:rsidRPr="0042483D">
        <w:rPr>
          <w:szCs w:val="28"/>
        </w:rPr>
        <w:t xml:space="preserve">на выборах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 </w:t>
      </w:r>
      <w:r w:rsidRPr="001D2B8B">
        <w:rPr>
          <w:szCs w:val="28"/>
        </w:rPr>
        <w:t xml:space="preserve">для участковых избирательных комиссий </w:t>
      </w:r>
      <w:r>
        <w:rPr>
          <w:szCs w:val="28"/>
        </w:rPr>
        <w:t>Торопецкого района согласно приложению.</w:t>
      </w:r>
    </w:p>
    <w:p w:rsidR="00BA528C" w:rsidRDefault="00BA528C" w:rsidP="00BA52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Направить настоящее постановление в участковые избирательные комиссии Торопецкого района №№ 1084-1110</w:t>
      </w:r>
      <w:r w:rsidRPr="009E0837">
        <w:rPr>
          <w:szCs w:val="28"/>
        </w:rPr>
        <w:t>.</w:t>
      </w:r>
    </w:p>
    <w:p w:rsidR="00BA528C" w:rsidRPr="007961B9" w:rsidRDefault="00BA528C" w:rsidP="00BA528C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>3</w:t>
      </w:r>
      <w:r>
        <w:rPr>
          <w:color w:val="000000"/>
          <w:spacing w:val="-2"/>
        </w:rPr>
        <w:t xml:space="preserve">. </w:t>
      </w:r>
      <w:r>
        <w:rPr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 и на информационных стендах участковых избирательных комиссий в помещениях для голосования избирательных участков №№ 1084-1110.</w:t>
      </w:r>
    </w:p>
    <w:p w:rsidR="00BA528C" w:rsidRPr="00CD1821" w:rsidRDefault="00BA528C" w:rsidP="00BA528C">
      <w:pPr>
        <w:pStyle w:val="21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020B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</w:t>
      </w:r>
      <w:r>
        <w:rPr>
          <w:sz w:val="28"/>
          <w:szCs w:val="28"/>
        </w:rPr>
        <w:t>и Торопецкого района М.В. Скарлыгину.</w:t>
      </w:r>
    </w:p>
    <w:p w:rsidR="00BA528C" w:rsidRDefault="00BA528C" w:rsidP="00BA528C">
      <w:pPr>
        <w:pStyle w:val="a6"/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E0837">
        <w:rPr>
          <w:sz w:val="28"/>
          <w:szCs w:val="28"/>
        </w:rPr>
        <w:t xml:space="preserve"> </w:t>
      </w:r>
      <w:r w:rsidRPr="00EB1B3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Торопецкого района</w:t>
      </w:r>
      <w:r w:rsidRPr="00EB1B32">
        <w:rPr>
          <w:bCs/>
          <w:sz w:val="28"/>
          <w:szCs w:val="28"/>
        </w:rPr>
        <w:t xml:space="preserve"> </w:t>
      </w:r>
      <w:r w:rsidRPr="00EB1B32">
        <w:rPr>
          <w:sz w:val="28"/>
          <w:szCs w:val="28"/>
        </w:rPr>
        <w:t>в информационно-телекоммуникационной сети «Интернет».</w:t>
      </w:r>
    </w:p>
    <w:p w:rsidR="00BA528C" w:rsidRDefault="00BA528C" w:rsidP="00BA528C">
      <w:pPr>
        <w:pStyle w:val="a6"/>
        <w:tabs>
          <w:tab w:val="left" w:pos="1276"/>
          <w:tab w:val="left" w:pos="1560"/>
        </w:tabs>
        <w:spacing w:line="348" w:lineRule="auto"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50" w:tblpY="80"/>
        <w:tblW w:w="9357" w:type="dxa"/>
        <w:tblLook w:val="0000" w:firstRow="0" w:lastRow="0" w:firstColumn="0" w:lastColumn="0" w:noHBand="0" w:noVBand="0"/>
      </w:tblPr>
      <w:tblGrid>
        <w:gridCol w:w="4227"/>
        <w:gridCol w:w="5130"/>
      </w:tblGrid>
      <w:tr w:rsidR="00BA528C" w:rsidRPr="00D638A1" w:rsidTr="00BA528C">
        <w:trPr>
          <w:trHeight w:val="918"/>
        </w:trPr>
        <w:tc>
          <w:tcPr>
            <w:tcW w:w="4227" w:type="dxa"/>
          </w:tcPr>
          <w:p w:rsidR="00BA528C" w:rsidRPr="00D638A1" w:rsidRDefault="00BA528C" w:rsidP="00BA528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A528C" w:rsidRPr="00D638A1" w:rsidRDefault="00BA528C" w:rsidP="00BA528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Торопецкого района</w:t>
            </w:r>
          </w:p>
        </w:tc>
        <w:tc>
          <w:tcPr>
            <w:tcW w:w="5130" w:type="dxa"/>
            <w:vAlign w:val="bottom"/>
          </w:tcPr>
          <w:p w:rsidR="00BA528C" w:rsidRPr="00D638A1" w:rsidRDefault="00BA528C" w:rsidP="00BA528C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BA528C" w:rsidRPr="00D638A1" w:rsidTr="00BA528C">
        <w:trPr>
          <w:trHeight w:val="73"/>
        </w:trPr>
        <w:tc>
          <w:tcPr>
            <w:tcW w:w="4227" w:type="dxa"/>
          </w:tcPr>
          <w:p w:rsidR="00BA528C" w:rsidRPr="00D638A1" w:rsidRDefault="00BA528C" w:rsidP="00BA528C">
            <w:pPr>
              <w:rPr>
                <w:szCs w:val="28"/>
              </w:rPr>
            </w:pPr>
          </w:p>
        </w:tc>
        <w:tc>
          <w:tcPr>
            <w:tcW w:w="5130" w:type="dxa"/>
            <w:vAlign w:val="bottom"/>
          </w:tcPr>
          <w:p w:rsidR="00BA528C" w:rsidRPr="00D638A1" w:rsidRDefault="00BA528C" w:rsidP="00BA528C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BA528C" w:rsidRPr="00D638A1" w:rsidTr="00BA528C">
        <w:trPr>
          <w:trHeight w:val="930"/>
        </w:trPr>
        <w:tc>
          <w:tcPr>
            <w:tcW w:w="4227" w:type="dxa"/>
          </w:tcPr>
          <w:p w:rsidR="00BA528C" w:rsidRPr="00D638A1" w:rsidRDefault="00BA528C" w:rsidP="00BA528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BA528C" w:rsidRPr="00D638A1" w:rsidRDefault="00BA528C" w:rsidP="00BA528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</w:t>
            </w:r>
            <w:proofErr w:type="gramStart"/>
            <w:r w:rsidRPr="00D638A1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 Торопецкого</w:t>
            </w:r>
            <w:proofErr w:type="gramEnd"/>
            <w:r>
              <w:rPr>
                <w:szCs w:val="28"/>
              </w:rPr>
              <w:t xml:space="preserve"> района</w:t>
            </w:r>
          </w:p>
        </w:tc>
        <w:tc>
          <w:tcPr>
            <w:tcW w:w="5130" w:type="dxa"/>
            <w:vAlign w:val="bottom"/>
          </w:tcPr>
          <w:p w:rsidR="00BA528C" w:rsidRPr="00D638A1" w:rsidRDefault="00BA528C" w:rsidP="00BA528C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BA528C" w:rsidRPr="00EB1B32" w:rsidRDefault="00BA528C" w:rsidP="00BA528C">
      <w:pPr>
        <w:pStyle w:val="a6"/>
        <w:tabs>
          <w:tab w:val="left" w:pos="1276"/>
          <w:tab w:val="left" w:pos="1560"/>
        </w:tabs>
        <w:spacing w:line="348" w:lineRule="auto"/>
        <w:ind w:left="0" w:right="-2" w:firstLine="709"/>
        <w:jc w:val="both"/>
        <w:rPr>
          <w:sz w:val="28"/>
          <w:szCs w:val="28"/>
        </w:rPr>
      </w:pPr>
    </w:p>
    <w:p w:rsidR="00BA528C" w:rsidRDefault="00BA528C" w:rsidP="00BA528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p w:rsidR="00BA528C" w:rsidRDefault="00BA528C" w:rsidP="00BA528C">
      <w:pPr>
        <w:spacing w:after="120" w:line="360" w:lineRule="auto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0"/>
      </w:tblGrid>
      <w:tr w:rsidR="00BA528C" w:rsidTr="00EB3272">
        <w:tc>
          <w:tcPr>
            <w:tcW w:w="4920" w:type="dxa"/>
            <w:hideMark/>
          </w:tcPr>
          <w:p w:rsidR="00BA528C" w:rsidRPr="00052C21" w:rsidRDefault="00BA528C" w:rsidP="00EB3272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052C21">
              <w:rPr>
                <w:sz w:val="24"/>
              </w:rPr>
              <w:lastRenderedPageBreak/>
              <w:br w:type="page"/>
            </w:r>
            <w:r w:rsidRPr="00052C21">
              <w:rPr>
                <w:sz w:val="24"/>
              </w:rPr>
              <w:br w:type="page"/>
            </w:r>
            <w:r w:rsidRPr="00052C21">
              <w:rPr>
                <w:sz w:val="24"/>
              </w:rPr>
              <w:br w:type="page"/>
            </w:r>
            <w:r w:rsidRPr="00052C21">
              <w:rPr>
                <w:b/>
                <w:sz w:val="24"/>
              </w:rPr>
              <w:br w:type="page"/>
            </w:r>
            <w:r w:rsidRPr="00052C21">
              <w:rPr>
                <w:rStyle w:val="FontStyle17"/>
                <w:rFonts w:eastAsia="Arial Unicode MS"/>
                <w:b w:val="0"/>
                <w:lang w:eastAsia="en-US"/>
              </w:rPr>
              <w:t>Приложение</w:t>
            </w:r>
          </w:p>
        </w:tc>
      </w:tr>
      <w:tr w:rsidR="00BA528C" w:rsidTr="00EB3272">
        <w:tc>
          <w:tcPr>
            <w:tcW w:w="4920" w:type="dxa"/>
            <w:hideMark/>
          </w:tcPr>
          <w:p w:rsidR="00BA528C" w:rsidRPr="00052C21" w:rsidRDefault="00BA528C" w:rsidP="00EB3272">
            <w:pPr>
              <w:spacing w:line="276" w:lineRule="auto"/>
              <w:rPr>
                <w:rStyle w:val="FontStyle21"/>
                <w:sz w:val="24"/>
                <w:szCs w:val="24"/>
              </w:rPr>
            </w:pPr>
            <w:r w:rsidRPr="00052C21">
              <w:rPr>
                <w:rStyle w:val="FontStyle21"/>
                <w:sz w:val="24"/>
                <w:szCs w:val="24"/>
                <w:lang w:eastAsia="en-US"/>
              </w:rPr>
              <w:t>к постановлению территориальной</w:t>
            </w:r>
          </w:p>
          <w:p w:rsidR="00BA528C" w:rsidRPr="00052C21" w:rsidRDefault="00BA528C" w:rsidP="00EB3272">
            <w:pPr>
              <w:spacing w:line="276" w:lineRule="auto"/>
              <w:rPr>
                <w:rStyle w:val="FontStyle21"/>
                <w:sz w:val="24"/>
                <w:szCs w:val="24"/>
                <w:lang w:eastAsia="en-US"/>
              </w:rPr>
            </w:pPr>
            <w:r w:rsidRPr="00052C21">
              <w:rPr>
                <w:rStyle w:val="FontStyle21"/>
                <w:sz w:val="24"/>
                <w:szCs w:val="24"/>
                <w:lang w:eastAsia="en-US"/>
              </w:rPr>
              <w:t>избирательной комиссии</w:t>
            </w:r>
          </w:p>
          <w:p w:rsidR="00BA528C" w:rsidRPr="00052C21" w:rsidRDefault="0045282B" w:rsidP="00EB3272">
            <w:pPr>
              <w:spacing w:line="276" w:lineRule="auto"/>
              <w:rPr>
                <w:rStyle w:val="FontStyle17"/>
              </w:rPr>
            </w:pPr>
            <w:r w:rsidRPr="00052C21">
              <w:rPr>
                <w:rStyle w:val="FontStyle21"/>
                <w:sz w:val="24"/>
                <w:szCs w:val="24"/>
                <w:lang w:eastAsia="en-US"/>
              </w:rPr>
              <w:t>Торопецкого района</w:t>
            </w:r>
          </w:p>
        </w:tc>
      </w:tr>
      <w:tr w:rsidR="00BA528C" w:rsidTr="00EB3272">
        <w:tc>
          <w:tcPr>
            <w:tcW w:w="4920" w:type="dxa"/>
            <w:hideMark/>
          </w:tcPr>
          <w:p w:rsidR="00BA528C" w:rsidRDefault="00BA528C" w:rsidP="00052C21">
            <w:pPr>
              <w:spacing w:line="276" w:lineRule="auto"/>
              <w:rPr>
                <w:rStyle w:val="FontStyle21"/>
                <w:szCs w:val="28"/>
              </w:rPr>
            </w:pPr>
            <w:r>
              <w:rPr>
                <w:bCs/>
                <w:szCs w:val="28"/>
                <w:lang w:eastAsia="en-US"/>
              </w:rPr>
              <w:t xml:space="preserve">от </w:t>
            </w:r>
            <w:r w:rsidR="0045282B">
              <w:rPr>
                <w:bCs/>
              </w:rPr>
              <w:t>25</w:t>
            </w:r>
            <w:r>
              <w:rPr>
                <w:bCs/>
              </w:rPr>
              <w:t xml:space="preserve"> августа 2021 года</w:t>
            </w:r>
            <w:r>
              <w:rPr>
                <w:bCs/>
                <w:szCs w:val="28"/>
                <w:lang w:eastAsia="en-US"/>
              </w:rPr>
              <w:t xml:space="preserve"> № </w:t>
            </w:r>
            <w:r w:rsidR="0045282B">
              <w:rPr>
                <w:bCs/>
              </w:rPr>
              <w:t>5</w:t>
            </w:r>
            <w:r>
              <w:rPr>
                <w:bCs/>
              </w:rPr>
              <w:t>/</w:t>
            </w:r>
            <w:r w:rsidR="00052C21">
              <w:rPr>
                <w:bCs/>
              </w:rPr>
              <w:t>50</w:t>
            </w:r>
            <w:r>
              <w:rPr>
                <w:bCs/>
              </w:rPr>
              <w:t>-5</w:t>
            </w:r>
          </w:p>
        </w:tc>
      </w:tr>
    </w:tbl>
    <w:p w:rsidR="00BA528C" w:rsidRDefault="00BA528C" w:rsidP="00BA528C">
      <w:pPr>
        <w:rPr>
          <w:b/>
          <w:szCs w:val="28"/>
        </w:rPr>
      </w:pPr>
    </w:p>
    <w:p w:rsidR="00BA528C" w:rsidRDefault="00BA528C" w:rsidP="00BA528C">
      <w:pPr>
        <w:rPr>
          <w:b/>
          <w:szCs w:val="28"/>
        </w:rPr>
      </w:pPr>
    </w:p>
    <w:p w:rsidR="00BA528C" w:rsidRDefault="00BA528C" w:rsidP="00BA528C">
      <w:pPr>
        <w:rPr>
          <w:b/>
          <w:szCs w:val="28"/>
        </w:rPr>
      </w:pPr>
    </w:p>
    <w:p w:rsidR="00BA528C" w:rsidRDefault="00BA528C" w:rsidP="00BA528C">
      <w:pPr>
        <w:rPr>
          <w:b/>
          <w:szCs w:val="28"/>
        </w:rPr>
      </w:pPr>
    </w:p>
    <w:p w:rsidR="00BA528C" w:rsidRDefault="00BA528C" w:rsidP="00BA528C">
      <w:pPr>
        <w:rPr>
          <w:b/>
          <w:szCs w:val="28"/>
        </w:rPr>
      </w:pPr>
    </w:p>
    <w:p w:rsidR="00BA528C" w:rsidRDefault="00BA528C" w:rsidP="00BA528C">
      <w:pPr>
        <w:jc w:val="right"/>
        <w:rPr>
          <w:b/>
          <w:szCs w:val="28"/>
        </w:rPr>
      </w:pPr>
    </w:p>
    <w:p w:rsidR="00BA528C" w:rsidRDefault="00BA528C" w:rsidP="00BA528C">
      <w:pPr>
        <w:pStyle w:val="ab"/>
      </w:pPr>
    </w:p>
    <w:p w:rsidR="00BA528C" w:rsidRPr="004B1B58" w:rsidRDefault="00BA528C" w:rsidP="00BA528C">
      <w:pPr>
        <w:rPr>
          <w:b/>
          <w:szCs w:val="28"/>
        </w:rPr>
      </w:pPr>
      <w:r w:rsidRPr="004B1B58">
        <w:rPr>
          <w:b/>
          <w:szCs w:val="28"/>
        </w:rPr>
        <w:t xml:space="preserve">Количество переносных ящиков, предназначенных для голосования </w:t>
      </w:r>
    </w:p>
    <w:p w:rsidR="00BA528C" w:rsidRDefault="00BA528C" w:rsidP="00052C21">
      <w:pPr>
        <w:rPr>
          <w:szCs w:val="28"/>
        </w:rPr>
      </w:pPr>
      <w:r w:rsidRPr="004B1B58">
        <w:rPr>
          <w:b/>
          <w:szCs w:val="28"/>
        </w:rPr>
        <w:t xml:space="preserve">вне помещения для голосования на выборах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 для участковых избирательных комиссий </w:t>
      </w:r>
      <w:r w:rsidR="00843FE8">
        <w:rPr>
          <w:b/>
          <w:szCs w:val="28"/>
        </w:rPr>
        <w:t>Торопецкого района</w:t>
      </w:r>
      <w:r>
        <w:rPr>
          <w:b/>
          <w:szCs w:val="28"/>
        </w:rPr>
        <w:br/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439"/>
        <w:gridCol w:w="1488"/>
        <w:gridCol w:w="4465"/>
      </w:tblGrid>
      <w:tr w:rsidR="00BA528C" w:rsidRPr="009910E5" w:rsidTr="00EB3272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8C" w:rsidRPr="009910E5" w:rsidRDefault="00BA528C" w:rsidP="00EB3272">
            <w:pPr>
              <w:rPr>
                <w:b/>
                <w:sz w:val="24"/>
              </w:rPr>
            </w:pPr>
            <w:r w:rsidRPr="009910E5">
              <w:rPr>
                <w:b/>
                <w:sz w:val="24"/>
              </w:rPr>
              <w:t>№ УИК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28C" w:rsidRDefault="00BA528C" w:rsidP="00EB3272">
            <w:pPr>
              <w:rPr>
                <w:b/>
                <w:sz w:val="24"/>
              </w:rPr>
            </w:pPr>
            <w:r w:rsidRPr="009910E5">
              <w:rPr>
                <w:b/>
                <w:sz w:val="24"/>
              </w:rPr>
              <w:t xml:space="preserve">Число избирателей </w:t>
            </w:r>
          </w:p>
          <w:p w:rsidR="00BA528C" w:rsidRPr="009910E5" w:rsidRDefault="00BA528C" w:rsidP="00EB32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Pr="009910E5">
              <w:rPr>
                <w:b/>
                <w:sz w:val="24"/>
              </w:rPr>
              <w:t>а территории избирательного участка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28C" w:rsidRPr="009910E5" w:rsidRDefault="00BA528C" w:rsidP="00EB3272">
            <w:pPr>
              <w:ind w:left="-51" w:right="-94"/>
              <w:rPr>
                <w:b/>
                <w:sz w:val="24"/>
              </w:rPr>
            </w:pPr>
            <w:r w:rsidRPr="009910E5">
              <w:rPr>
                <w:b/>
                <w:sz w:val="24"/>
              </w:rPr>
              <w:t>Количество переносных ящиков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28C" w:rsidRPr="009910E5" w:rsidRDefault="00BA528C" w:rsidP="00EB3272">
            <w:pPr>
              <w:rPr>
                <w:b/>
                <w:sz w:val="24"/>
              </w:rPr>
            </w:pPr>
            <w:r w:rsidRPr="009910E5">
              <w:rPr>
                <w:b/>
                <w:sz w:val="24"/>
              </w:rPr>
              <w:t xml:space="preserve">Примечание 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rPr>
                <w:szCs w:val="28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rPr>
                <w:szCs w:val="28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rPr>
                <w:szCs w:val="28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rPr>
                <w:sz w:val="22"/>
                <w:szCs w:val="22"/>
              </w:rPr>
            </w:pPr>
          </w:p>
        </w:tc>
      </w:tr>
      <w:tr w:rsidR="00052C21" w:rsidTr="00AC0ACB">
        <w:trPr>
          <w:trHeight w:val="358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6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7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8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  <w:bookmarkStart w:id="0" w:name="_GoBack"/>
        <w:bookmarkEnd w:id="0"/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9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0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1099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1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 xml:space="preserve">7 </w:t>
            </w:r>
            <w:r w:rsidRPr="00E26042">
              <w:lastRenderedPageBreak/>
              <w:t>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1100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2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3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4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5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6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7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8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19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AC0ACB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20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052C21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1109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21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  <w:tr w:rsidR="00052C21" w:rsidTr="00052C21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1110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2C21" w:rsidRDefault="00052C21" w:rsidP="00052C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C21" w:rsidRDefault="00052C21" w:rsidP="00052C21">
            <w:pPr>
              <w:pStyle w:val="ab"/>
              <w:jc w:val="both"/>
              <w:rPr>
                <w:sz w:val="22"/>
                <w:szCs w:val="22"/>
              </w:rPr>
            </w:pPr>
            <w:r w:rsidRPr="00E26042">
              <w:t>в соответстви</w:t>
            </w:r>
            <w:r>
              <w:t>и с</w:t>
            </w:r>
            <w:r w:rsidRPr="009543C3">
              <w:t xml:space="preserve"> </w:t>
            </w:r>
            <w:hyperlink r:id="rId22" w:history="1">
              <w:r w:rsidRPr="009543C3">
                <w:t>пунктом 16</w:t>
              </w:r>
              <w:r w:rsidRPr="009543C3">
                <w:rPr>
                  <w:vertAlign w:val="superscript"/>
                </w:rPr>
                <w:t>1</w:t>
              </w:r>
              <w:r w:rsidRPr="009543C3">
                <w:t xml:space="preserve"> статьи 20</w:t>
              </w:r>
            </w:hyperlink>
            <w:r>
              <w:t>,</w:t>
            </w:r>
            <w:r w:rsidRPr="004E71EA">
              <w:t xml:space="preserve"> </w:t>
            </w:r>
            <w:r>
              <w:t>пунктом</w:t>
            </w:r>
            <w:r w:rsidRPr="00E26042">
              <w:t xml:space="preserve"> 8,</w:t>
            </w:r>
            <w:r>
              <w:t xml:space="preserve"> подпунктами «в» и «г» пункта</w:t>
            </w:r>
            <w:r w:rsidRPr="00E26042">
              <w:t xml:space="preserve"> </w:t>
            </w:r>
            <w:proofErr w:type="gramStart"/>
            <w:r w:rsidRPr="00E26042">
              <w:t>8</w:t>
            </w:r>
            <w:r w:rsidRPr="00E26042">
              <w:rPr>
                <w:vertAlign w:val="superscript"/>
              </w:rPr>
              <w:t xml:space="preserve">1 </w:t>
            </w:r>
            <w:r w:rsidRPr="00E26042">
              <w:t xml:space="preserve"> статьи</w:t>
            </w:r>
            <w:proofErr w:type="gramEnd"/>
            <w:r w:rsidRPr="00E26042">
              <w:t xml:space="preserve"> 66</w:t>
            </w:r>
            <w:r>
              <w:rPr>
                <w:sz w:val="28"/>
                <w:szCs w:val="28"/>
              </w:rPr>
              <w:t xml:space="preserve"> </w:t>
            </w:r>
            <w:r>
              <w:t>ФЗ № 67, пунктом</w:t>
            </w:r>
            <w:r w:rsidRPr="00E26042">
              <w:t xml:space="preserve"> 6, </w:t>
            </w:r>
            <w:r>
              <w:t xml:space="preserve">подпунктами 3 и 4 пункта </w:t>
            </w:r>
            <w:r w:rsidRPr="00E26042">
              <w:t>7 статьи 83</w:t>
            </w:r>
            <w:r>
              <w:t xml:space="preserve"> ФЗ № 20, пунктом </w:t>
            </w:r>
            <w:r w:rsidRPr="00E26042">
              <w:t>8</w:t>
            </w:r>
            <w:r>
              <w:t>, подпунктами  «в» и «г»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t xml:space="preserve">пункта </w:t>
            </w:r>
            <w:r w:rsidRPr="00E26042">
              <w:t>8</w:t>
            </w:r>
            <w:r w:rsidRPr="00E26042">
              <w:rPr>
                <w:vertAlign w:val="superscript"/>
              </w:rPr>
              <w:t>1</w:t>
            </w:r>
            <w:r w:rsidRPr="00E26042">
              <w:t xml:space="preserve"> статьи 62</w:t>
            </w:r>
            <w:r>
              <w:rPr>
                <w:sz w:val="28"/>
                <w:szCs w:val="28"/>
              </w:rPr>
              <w:t xml:space="preserve"> </w:t>
            </w:r>
            <w:r w:rsidRPr="00E26042">
              <w:t>ИКТО №</w:t>
            </w:r>
            <w:r>
              <w:t xml:space="preserve"> 20-ЗО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D20DE"/>
    <w:multiLevelType w:val="hybridMultilevel"/>
    <w:tmpl w:val="A5E85AB6"/>
    <w:lvl w:ilvl="0" w:tplc="4B2EB9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52C21"/>
    <w:rsid w:val="000F5DDF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5282B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43FE8"/>
    <w:rsid w:val="00844555"/>
    <w:rsid w:val="008827D9"/>
    <w:rsid w:val="008C222F"/>
    <w:rsid w:val="008D0DB4"/>
    <w:rsid w:val="008F210B"/>
    <w:rsid w:val="00921DF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30A81"/>
    <w:rsid w:val="00B66B54"/>
    <w:rsid w:val="00B851BE"/>
    <w:rsid w:val="00B96924"/>
    <w:rsid w:val="00BA528C"/>
    <w:rsid w:val="00BD57DD"/>
    <w:rsid w:val="00BE122A"/>
    <w:rsid w:val="00C05668"/>
    <w:rsid w:val="00C1228B"/>
    <w:rsid w:val="00C25EC6"/>
    <w:rsid w:val="00C8577A"/>
    <w:rsid w:val="00CA7006"/>
    <w:rsid w:val="00CE786B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A5884"/>
    <w:rsid w:val="00DC242C"/>
    <w:rsid w:val="00DE728B"/>
    <w:rsid w:val="00DF61F6"/>
    <w:rsid w:val="00E024C6"/>
    <w:rsid w:val="00E60577"/>
    <w:rsid w:val="00E92C28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  <w:style w:type="paragraph" w:styleId="ab">
    <w:name w:val="No Spacing"/>
    <w:qFormat/>
    <w:rsid w:val="00BA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A528C"/>
    <w:pPr>
      <w:widowControl w:val="0"/>
      <w:ind w:firstLine="1418"/>
      <w:jc w:val="left"/>
    </w:pPr>
    <w:rPr>
      <w:sz w:val="24"/>
      <w:szCs w:val="20"/>
    </w:rPr>
  </w:style>
  <w:style w:type="character" w:customStyle="1" w:styleId="FontStyle17">
    <w:name w:val="Font Style17"/>
    <w:rsid w:val="00BA52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BA528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AA2EEFEED94475106FBC6E22008883362FD5DA13208DEBE900041ADF3C73122C4EB6B3DM8n2E" TargetMode="External"/><Relationship Id="rId13" Type="http://schemas.openxmlformats.org/officeDocument/2006/relationships/hyperlink" Target="consultantplus://offline/ref=185AA2EEFEED94475106FBC6E22008883362FD5DA13208DEBE900041ADF3C73122C4EB6B3DM8n2E" TargetMode="External"/><Relationship Id="rId18" Type="http://schemas.openxmlformats.org/officeDocument/2006/relationships/hyperlink" Target="consultantplus://offline/ref=185AA2EEFEED94475106FBC6E22008883362FD5DA13208DEBE900041ADF3C73122C4EB6B3DM8n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5AA2EEFEED94475106FBC6E22008883362FD5DA13208DEBE900041ADF3C73122C4EB6B3DM8n2E" TargetMode="External"/><Relationship Id="rId7" Type="http://schemas.openxmlformats.org/officeDocument/2006/relationships/hyperlink" Target="consultantplus://offline/ref=185AA2EEFEED94475106FBC6E22008883362FD5DA13208DEBE900041ADF3C73122C4EB6B3DM8n2E" TargetMode="External"/><Relationship Id="rId12" Type="http://schemas.openxmlformats.org/officeDocument/2006/relationships/hyperlink" Target="consultantplus://offline/ref=185AA2EEFEED94475106FBC6E22008883362FD5DA13208DEBE900041ADF3C73122C4EB6B3DM8n2E" TargetMode="External"/><Relationship Id="rId17" Type="http://schemas.openxmlformats.org/officeDocument/2006/relationships/hyperlink" Target="consultantplus://offline/ref=185AA2EEFEED94475106FBC6E22008883362FD5DA13208DEBE900041ADF3C73122C4EB6B3DM8n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5AA2EEFEED94475106FBC6E22008883362FD5DA13208DEBE900041ADF3C73122C4EB6B3DM8n2E" TargetMode="External"/><Relationship Id="rId20" Type="http://schemas.openxmlformats.org/officeDocument/2006/relationships/hyperlink" Target="consultantplus://offline/ref=185AA2EEFEED94475106FBC6E22008883362FD5DA13208DEBE900041ADF3C73122C4EB6B3DM8n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AA2EEFEED94475106FBC6E22008883362FD5DA13208DEBE900041ADF3C73122C4EB6B3DM8n2E" TargetMode="External"/><Relationship Id="rId11" Type="http://schemas.openxmlformats.org/officeDocument/2006/relationships/hyperlink" Target="consultantplus://offline/ref=185AA2EEFEED94475106FBC6E22008883362FD5DA13208DEBE900041ADF3C73122C4EB6B3DM8n2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AA2EEFEED94475106FBC6E22008883362FD5DA13208DEBE900041ADF3C73122C4EB6B3DM8n2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5AA2EEFEED94475106FBC6E22008883362FD5DA13208DEBE900041ADF3C73122C4EB6B3DM8n2E" TargetMode="External"/><Relationship Id="rId19" Type="http://schemas.openxmlformats.org/officeDocument/2006/relationships/hyperlink" Target="consultantplus://offline/ref=185AA2EEFEED94475106FBC6E22008883362FD5DA13208DEBE900041ADF3C73122C4EB6B3DM8n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AA2EEFEED94475106FBC6E22008883362FD5DA13208DEBE900041ADF3C73122C4EB6B3DM8n2E" TargetMode="External"/><Relationship Id="rId14" Type="http://schemas.openxmlformats.org/officeDocument/2006/relationships/hyperlink" Target="consultantplus://offline/ref=185AA2EEFEED94475106FBC6E22008883362FD5DA13208DEBE900041ADF3C73122C4EB6B3DM8n2E" TargetMode="External"/><Relationship Id="rId22" Type="http://schemas.openxmlformats.org/officeDocument/2006/relationships/hyperlink" Target="consultantplus://offline/ref=185AA2EEFEED94475106FBC6E22008883362FD5DA13208DEBE900041ADF3C73122C4EB6B3DM8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165D-4C1F-4730-8F68-BCEA510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2020-03-18T18:49:00Z</cp:lastPrinted>
  <dcterms:created xsi:type="dcterms:W3CDTF">2021-08-23T16:58:00Z</dcterms:created>
  <dcterms:modified xsi:type="dcterms:W3CDTF">2021-08-25T16:48:00Z</dcterms:modified>
</cp:coreProperties>
</file>